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79DCB" w14:textId="351E863F" w:rsidR="004275BD" w:rsidRPr="00A1389A" w:rsidRDefault="001C28A9" w:rsidP="00D511DB">
      <w:pPr>
        <w:spacing w:before="100" w:beforeAutospacing="1" w:after="100" w:afterAutospacing="1"/>
        <w:ind w:right="-333"/>
        <w:rPr>
          <w:rFonts w:eastAsiaTheme="minorHAnsi"/>
          <w:position w:val="0"/>
          <w:sz w:val="20"/>
          <w:szCs w:val="20"/>
          <w:lang w:val="fr-FR"/>
        </w:rPr>
      </w:pPr>
      <w:bookmarkStart w:id="0" w:name="_GoBack"/>
      <w:bookmarkEnd w:id="0"/>
      <w:r>
        <w:rPr>
          <w:rFonts w:asciiTheme="majorHAnsi" w:eastAsiaTheme="minorHAnsi" w:hAnsiTheme="majorHAnsi"/>
          <w:noProof/>
          <w:color w:val="000000"/>
          <w:position w:val="0"/>
          <w:sz w:val="20"/>
          <w:szCs w:val="20"/>
          <w:lang w:val="fr-FR"/>
        </w:rPr>
        <w:drawing>
          <wp:anchor distT="0" distB="396240" distL="396240" distR="396240" simplePos="0" relativeHeight="251658240" behindDoc="0" locked="0" layoutInCell="1" allowOverlap="1" wp14:anchorId="35470EB4" wp14:editId="6F10DC07">
            <wp:simplePos x="0" y="0"/>
            <wp:positionH relativeFrom="column">
              <wp:posOffset>0</wp:posOffset>
            </wp:positionH>
            <wp:positionV relativeFrom="paragraph">
              <wp:posOffset>0</wp:posOffset>
            </wp:positionV>
            <wp:extent cx="1735455" cy="2129790"/>
            <wp:effectExtent l="0" t="0" r="0" b="3810"/>
            <wp:wrapSquare wrapText="bothSides"/>
            <wp:docPr id="2" name="Image 2" descr="Macintosh HD:Doc:Personnel:Pics_Jake_Daniel:Jacqu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Doc:Personnel:Pics_Jake_Daniel:Jacques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5455" cy="212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5BD" w:rsidRPr="00A1389A">
        <w:rPr>
          <w:rFonts w:asciiTheme="majorHAnsi" w:eastAsiaTheme="minorHAnsi" w:hAnsiTheme="majorHAnsi"/>
          <w:b/>
          <w:color w:val="000000"/>
          <w:position w:val="0"/>
          <w:sz w:val="20"/>
          <w:szCs w:val="20"/>
          <w:lang w:val="fr-FR"/>
        </w:rPr>
        <w:t xml:space="preserve">Les « moyens habiles »  de la recherche-action participative : une approche canadienne </w:t>
      </w:r>
      <w:r w:rsidR="004275BD" w:rsidRPr="00A1389A">
        <w:rPr>
          <w:rFonts w:asciiTheme="majorHAnsi" w:eastAsiaTheme="minorHAnsi" w:hAnsiTheme="majorHAnsi"/>
          <w:color w:val="000000"/>
          <w:position w:val="0"/>
          <w:sz w:val="20"/>
          <w:szCs w:val="20"/>
          <w:lang w:val="fr-FR"/>
        </w:rPr>
        <w:t>(www.participatoryactionresearch.net)</w:t>
      </w:r>
    </w:p>
    <w:p w14:paraId="0B7D48D2" w14:textId="0853F976" w:rsidR="004275BD" w:rsidRPr="00A1389A" w:rsidRDefault="004275BD" w:rsidP="00D511DB">
      <w:pPr>
        <w:spacing w:before="100" w:beforeAutospacing="1" w:after="100" w:afterAutospacing="1"/>
        <w:ind w:right="-333"/>
        <w:rPr>
          <w:rFonts w:eastAsiaTheme="minorHAnsi"/>
          <w:position w:val="0"/>
          <w:sz w:val="20"/>
          <w:szCs w:val="20"/>
          <w:lang w:val="fr-FR"/>
        </w:rPr>
      </w:pPr>
      <w:r w:rsidRPr="00A1389A">
        <w:rPr>
          <w:rFonts w:asciiTheme="majorHAnsi" w:eastAsiaTheme="minorHAnsi" w:hAnsiTheme="majorHAnsi"/>
          <w:b/>
          <w:color w:val="000000"/>
          <w:position w:val="0"/>
          <w:sz w:val="20"/>
          <w:szCs w:val="20"/>
          <w:lang w:val="fr-FR"/>
        </w:rPr>
        <w:t>Jacques M. Chevalier, Professeur du Chancelier, Sociology and Anthropology, Carleton University, Ottawa</w:t>
      </w:r>
    </w:p>
    <w:p w14:paraId="42F82511" w14:textId="1C2818D3" w:rsidR="004275BD" w:rsidRPr="00A1389A" w:rsidRDefault="004275BD" w:rsidP="00D511DB">
      <w:pPr>
        <w:spacing w:before="240" w:after="100" w:afterAutospacing="1"/>
        <w:ind w:right="-333"/>
        <w:rPr>
          <w:rFonts w:eastAsiaTheme="minorHAnsi"/>
          <w:position w:val="0"/>
          <w:sz w:val="20"/>
          <w:szCs w:val="20"/>
          <w:lang w:val="fr-FR"/>
        </w:rPr>
      </w:pPr>
      <w:r w:rsidRPr="00A1389A">
        <w:rPr>
          <w:rFonts w:asciiTheme="majorHAnsi" w:eastAsiaTheme="minorHAnsi" w:hAnsiTheme="majorHAnsi"/>
          <w:color w:val="000000"/>
          <w:position w:val="0"/>
          <w:sz w:val="20"/>
          <w:szCs w:val="20"/>
          <w:lang w:val="fr-FR"/>
        </w:rPr>
        <w:t xml:space="preserve">Les travaux de Jacques M. Chevalier, appuyés depuis plusieurs années par le Centre pour la Recherche en Développement International, adhère aux principes de la recherche-action participative, en se donnant comme mission d’innover tout autant sur le plan théorique que sur le plan de la pratique, alliant parole articulée au geste cohérent. Les ouvrages qui en découlent, publiés dans une demi-douzaine de langues, proposent une cinquantaine de dispositifs permettant de mobiliser les savoirs de toutes les parties concernées, </w:t>
      </w:r>
      <w:r w:rsidR="00942246" w:rsidRPr="00A1389A">
        <w:rPr>
          <w:rFonts w:asciiTheme="majorHAnsi" w:eastAsiaTheme="minorHAnsi" w:hAnsiTheme="majorHAnsi"/>
          <w:color w:val="000000"/>
          <w:position w:val="0"/>
          <w:sz w:val="20"/>
          <w:szCs w:val="20"/>
          <w:lang w:val="fr-FR"/>
        </w:rPr>
        <w:t xml:space="preserve">scientifiques et autres, </w:t>
      </w:r>
      <w:r w:rsidRPr="00A1389A">
        <w:rPr>
          <w:rFonts w:asciiTheme="majorHAnsi" w:eastAsiaTheme="minorHAnsi" w:hAnsiTheme="majorHAnsi"/>
          <w:color w:val="000000"/>
          <w:position w:val="0"/>
          <w:sz w:val="20"/>
          <w:szCs w:val="20"/>
          <w:lang w:val="fr-FR"/>
        </w:rPr>
        <w:t xml:space="preserve">en situation réelle. Les pratiques et dispositifs d’analyse, d’accompagnement et de résolution de problème étayés dans ces ouvrages prennent appui sur plusieurs disciplines et expériences menées dans des contextes sociaux et géographiques fort variés, tels la communauté villageoise, le réseau associatif, l’établissement d’enseignement, l’entreprise privée, et l'organisme public. Ces « moyens habiles » de la recherche-action reposent sur une socio-technè qui allie sans gêne les arts aux </w:t>
      </w:r>
      <w:r w:rsidR="00D511DB" w:rsidRPr="00A1389A">
        <w:rPr>
          <w:rFonts w:asciiTheme="majorHAnsi" w:eastAsiaTheme="minorHAnsi" w:hAnsiTheme="majorHAnsi"/>
          <w:color w:val="000000"/>
          <w:position w:val="0"/>
          <w:sz w:val="20"/>
          <w:szCs w:val="20"/>
          <w:lang w:val="fr-FR"/>
        </w:rPr>
        <w:t>méthodes</w:t>
      </w:r>
      <w:r w:rsidR="00942246" w:rsidRPr="00A1389A">
        <w:rPr>
          <w:rFonts w:asciiTheme="majorHAnsi" w:eastAsiaTheme="minorHAnsi" w:hAnsiTheme="majorHAnsi"/>
          <w:color w:val="000000"/>
          <w:position w:val="0"/>
          <w:sz w:val="20"/>
          <w:szCs w:val="20"/>
          <w:lang w:val="fr-FR"/>
        </w:rPr>
        <w:t xml:space="preserve"> statistiques</w:t>
      </w:r>
      <w:r w:rsidRPr="00A1389A">
        <w:rPr>
          <w:rFonts w:asciiTheme="majorHAnsi" w:eastAsiaTheme="minorHAnsi" w:hAnsiTheme="majorHAnsi"/>
          <w:color w:val="000000"/>
          <w:position w:val="0"/>
          <w:sz w:val="20"/>
          <w:szCs w:val="20"/>
          <w:lang w:val="fr-FR"/>
        </w:rPr>
        <w:t xml:space="preserve"> et le discours narratif au software interactif. La réflexion théorique qui sous-tend ces choix méthodologiques est celle d’un </w:t>
      </w:r>
      <w:r w:rsidR="00D511DB" w:rsidRPr="00A1389A">
        <w:rPr>
          <w:rFonts w:asciiTheme="majorHAnsi" w:eastAsiaTheme="minorHAnsi" w:hAnsiTheme="majorHAnsi"/>
          <w:color w:val="000000"/>
          <w:position w:val="0"/>
          <w:sz w:val="20"/>
          <w:szCs w:val="20"/>
          <w:lang w:val="fr-FR"/>
        </w:rPr>
        <w:t xml:space="preserve">(a) </w:t>
      </w:r>
      <w:r w:rsidRPr="00A1389A">
        <w:rPr>
          <w:rFonts w:asciiTheme="majorHAnsi" w:eastAsiaTheme="minorHAnsi" w:hAnsiTheme="majorHAnsi"/>
          <w:color w:val="000000"/>
          <w:position w:val="0"/>
          <w:sz w:val="20"/>
          <w:szCs w:val="20"/>
          <w:lang w:val="fr-FR"/>
        </w:rPr>
        <w:t>socio-</w:t>
      </w:r>
      <w:r w:rsidR="00942246" w:rsidRPr="00A1389A">
        <w:rPr>
          <w:rFonts w:asciiTheme="majorHAnsi" w:eastAsiaTheme="minorHAnsi" w:hAnsiTheme="majorHAnsi"/>
          <w:color w:val="000000"/>
          <w:position w:val="0"/>
          <w:sz w:val="20"/>
          <w:szCs w:val="20"/>
          <w:lang w:val="fr-FR"/>
        </w:rPr>
        <w:t xml:space="preserve">constructivisme qui se veut </w:t>
      </w:r>
      <w:r w:rsidRPr="00A1389A">
        <w:rPr>
          <w:rFonts w:asciiTheme="majorHAnsi" w:eastAsiaTheme="minorHAnsi" w:hAnsiTheme="majorHAnsi"/>
          <w:color w:val="000000"/>
          <w:position w:val="0"/>
          <w:sz w:val="20"/>
          <w:szCs w:val="20"/>
          <w:lang w:val="fr-FR"/>
        </w:rPr>
        <w:t>critique des rapports de pouvo</w:t>
      </w:r>
      <w:r w:rsidR="00D511DB" w:rsidRPr="00A1389A">
        <w:rPr>
          <w:rFonts w:asciiTheme="majorHAnsi" w:eastAsiaTheme="minorHAnsi" w:hAnsiTheme="majorHAnsi"/>
          <w:color w:val="000000"/>
          <w:position w:val="0"/>
          <w:sz w:val="20"/>
          <w:szCs w:val="20"/>
          <w:lang w:val="fr-FR"/>
        </w:rPr>
        <w:t>ir ;</w:t>
      </w:r>
      <w:r w:rsidR="00942246" w:rsidRPr="00A1389A">
        <w:rPr>
          <w:rFonts w:asciiTheme="majorHAnsi" w:eastAsiaTheme="minorHAnsi" w:hAnsiTheme="majorHAnsi"/>
          <w:color w:val="000000"/>
          <w:position w:val="0"/>
          <w:sz w:val="20"/>
          <w:szCs w:val="20"/>
          <w:lang w:val="fr-FR"/>
        </w:rPr>
        <w:t xml:space="preserve"> </w:t>
      </w:r>
      <w:r w:rsidR="00D511DB" w:rsidRPr="00A1389A">
        <w:rPr>
          <w:rFonts w:asciiTheme="majorHAnsi" w:eastAsiaTheme="minorHAnsi" w:hAnsiTheme="majorHAnsi"/>
          <w:color w:val="000000"/>
          <w:position w:val="0"/>
          <w:sz w:val="20"/>
          <w:szCs w:val="20"/>
          <w:lang w:val="fr-FR"/>
        </w:rPr>
        <w:t xml:space="preserve">(b) </w:t>
      </w:r>
      <w:r w:rsidRPr="00A1389A">
        <w:rPr>
          <w:rFonts w:asciiTheme="majorHAnsi" w:eastAsiaTheme="minorHAnsi" w:hAnsiTheme="majorHAnsi"/>
          <w:color w:val="000000"/>
          <w:position w:val="0"/>
          <w:sz w:val="20"/>
          <w:szCs w:val="20"/>
          <w:lang w:val="fr-FR"/>
        </w:rPr>
        <w:t xml:space="preserve">pragmatique et donc rigoureux au regard </w:t>
      </w:r>
      <w:r w:rsidR="00942246" w:rsidRPr="00A1389A">
        <w:rPr>
          <w:rFonts w:asciiTheme="majorHAnsi" w:eastAsiaTheme="minorHAnsi" w:hAnsiTheme="majorHAnsi"/>
          <w:color w:val="000000"/>
          <w:position w:val="0"/>
          <w:sz w:val="20"/>
          <w:szCs w:val="20"/>
          <w:lang w:val="fr-FR"/>
        </w:rPr>
        <w:t>de notre compréhension du réel</w:t>
      </w:r>
      <w:r w:rsidR="00D511DB" w:rsidRPr="00A1389A">
        <w:rPr>
          <w:rFonts w:asciiTheme="majorHAnsi" w:eastAsiaTheme="minorHAnsi" w:hAnsiTheme="majorHAnsi"/>
          <w:color w:val="000000"/>
          <w:position w:val="0"/>
          <w:sz w:val="20"/>
          <w:szCs w:val="20"/>
          <w:lang w:val="fr-FR"/>
        </w:rPr>
        <w:t xml:space="preserve"> et de nos stratégies d’intervention ;</w:t>
      </w:r>
      <w:r w:rsidRPr="00A1389A">
        <w:rPr>
          <w:rFonts w:asciiTheme="majorHAnsi" w:eastAsiaTheme="minorHAnsi" w:hAnsiTheme="majorHAnsi"/>
          <w:color w:val="000000"/>
          <w:position w:val="0"/>
          <w:sz w:val="20"/>
          <w:szCs w:val="20"/>
          <w:lang w:val="fr-FR"/>
        </w:rPr>
        <w:t xml:space="preserve"> et (c) phénoménologique en ce sens qu’il </w:t>
      </w:r>
      <w:r w:rsidR="00D511DB" w:rsidRPr="00A1389A">
        <w:rPr>
          <w:rFonts w:asciiTheme="majorHAnsi" w:eastAsiaTheme="minorHAnsi" w:hAnsiTheme="majorHAnsi"/>
          <w:position w:val="0"/>
          <w:sz w:val="20"/>
          <w:szCs w:val="20"/>
          <w:lang w:val="fr-FR"/>
        </w:rPr>
        <w:t xml:space="preserve">prend acte de ce que les </w:t>
      </w:r>
      <w:r w:rsidRPr="00A1389A">
        <w:rPr>
          <w:rFonts w:asciiTheme="majorHAnsi" w:eastAsiaTheme="minorHAnsi" w:hAnsiTheme="majorHAnsi"/>
          <w:position w:val="0"/>
          <w:sz w:val="20"/>
          <w:szCs w:val="20"/>
          <w:lang w:val="fr-FR"/>
        </w:rPr>
        <w:t xml:space="preserve">sujets </w:t>
      </w:r>
      <w:r w:rsidR="00D511DB" w:rsidRPr="00A1389A">
        <w:rPr>
          <w:rFonts w:asciiTheme="majorHAnsi" w:eastAsiaTheme="minorHAnsi" w:hAnsiTheme="majorHAnsi"/>
          <w:position w:val="0"/>
          <w:sz w:val="20"/>
          <w:szCs w:val="20"/>
          <w:lang w:val="fr-FR"/>
        </w:rPr>
        <w:t>pensent et savent de leur propre histoire et de l</w:t>
      </w:r>
      <w:r w:rsidRPr="00A1389A">
        <w:rPr>
          <w:rFonts w:asciiTheme="majorHAnsi" w:eastAsiaTheme="minorHAnsi" w:hAnsiTheme="majorHAnsi"/>
          <w:position w:val="0"/>
          <w:sz w:val="20"/>
          <w:szCs w:val="20"/>
          <w:lang w:val="fr-FR"/>
        </w:rPr>
        <w:t xml:space="preserve">eurs rapports </w:t>
      </w:r>
      <w:r w:rsidR="00D511DB" w:rsidRPr="00A1389A">
        <w:rPr>
          <w:rFonts w:asciiTheme="majorHAnsi" w:eastAsiaTheme="minorHAnsi" w:hAnsiTheme="majorHAnsi"/>
          <w:position w:val="0"/>
          <w:sz w:val="20"/>
          <w:szCs w:val="20"/>
          <w:lang w:val="fr-FR"/>
        </w:rPr>
        <w:t>à l’</w:t>
      </w:r>
      <w:r w:rsidRPr="00A1389A">
        <w:rPr>
          <w:rFonts w:asciiTheme="majorHAnsi" w:eastAsiaTheme="minorHAnsi" w:hAnsiTheme="majorHAnsi"/>
          <w:position w:val="0"/>
          <w:sz w:val="20"/>
          <w:szCs w:val="20"/>
          <w:lang w:val="fr-FR"/>
        </w:rPr>
        <w:t>environnement.</w:t>
      </w:r>
      <w:r w:rsidRPr="00A1389A">
        <w:rPr>
          <w:rFonts w:asciiTheme="majorHAnsi" w:eastAsiaTheme="minorHAnsi" w:hAnsiTheme="majorHAnsi"/>
          <w:color w:val="000000"/>
          <w:position w:val="0"/>
          <w:sz w:val="20"/>
          <w:szCs w:val="20"/>
          <w:lang w:val="fr-FR"/>
        </w:rPr>
        <w:t xml:space="preserve"> Conçus pour les « chercheurs sans frontières », </w:t>
      </w:r>
      <w:r w:rsidR="00D511DB" w:rsidRPr="00A1389A">
        <w:rPr>
          <w:rFonts w:asciiTheme="majorHAnsi" w:eastAsiaTheme="minorHAnsi" w:hAnsiTheme="majorHAnsi"/>
          <w:color w:val="000000"/>
          <w:position w:val="0"/>
          <w:sz w:val="20"/>
          <w:szCs w:val="20"/>
          <w:lang w:val="fr-FR"/>
        </w:rPr>
        <w:t>les</w:t>
      </w:r>
      <w:r w:rsidRPr="00A1389A">
        <w:rPr>
          <w:rFonts w:asciiTheme="majorHAnsi" w:eastAsiaTheme="minorHAnsi" w:hAnsiTheme="majorHAnsi"/>
          <w:color w:val="000000"/>
          <w:position w:val="0"/>
          <w:sz w:val="20"/>
          <w:szCs w:val="20"/>
          <w:lang w:val="fr-FR"/>
        </w:rPr>
        <w:t xml:space="preserve"> </w:t>
      </w:r>
      <w:r w:rsidR="00D511DB" w:rsidRPr="00A1389A">
        <w:rPr>
          <w:rFonts w:asciiTheme="majorHAnsi" w:eastAsiaTheme="minorHAnsi" w:hAnsiTheme="majorHAnsi"/>
          <w:color w:val="000000"/>
          <w:position w:val="0"/>
          <w:sz w:val="20"/>
          <w:szCs w:val="20"/>
          <w:lang w:val="fr-FR"/>
        </w:rPr>
        <w:t xml:space="preserve">« </w:t>
      </w:r>
      <w:r w:rsidRPr="00A1389A">
        <w:rPr>
          <w:rFonts w:asciiTheme="majorHAnsi" w:eastAsiaTheme="minorHAnsi" w:hAnsiTheme="majorHAnsi"/>
          <w:color w:val="000000"/>
          <w:position w:val="0"/>
          <w:sz w:val="20"/>
          <w:szCs w:val="20"/>
          <w:lang w:val="fr-FR"/>
        </w:rPr>
        <w:t xml:space="preserve">moyens habiles </w:t>
      </w:r>
      <w:r w:rsidR="00D511DB" w:rsidRPr="00A1389A">
        <w:rPr>
          <w:rFonts w:asciiTheme="majorHAnsi" w:eastAsiaTheme="minorHAnsi" w:hAnsiTheme="majorHAnsi"/>
          <w:color w:val="000000"/>
          <w:position w:val="0"/>
          <w:sz w:val="20"/>
          <w:szCs w:val="20"/>
          <w:lang w:val="fr-FR"/>
        </w:rPr>
        <w:t xml:space="preserve">» </w:t>
      </w:r>
      <w:r w:rsidRPr="00A1389A">
        <w:rPr>
          <w:rFonts w:asciiTheme="majorHAnsi" w:eastAsiaTheme="minorHAnsi" w:hAnsiTheme="majorHAnsi"/>
          <w:color w:val="000000"/>
          <w:position w:val="0"/>
          <w:sz w:val="20"/>
          <w:szCs w:val="20"/>
          <w:lang w:val="fr-FR"/>
        </w:rPr>
        <w:t>de la pensée et du dialogue nous convient à devenir des « artisans du savoir » qui travaillent à combler les nombreux écarts séparant la pratique dite scientifique de la construction de sen</w:t>
      </w:r>
      <w:r w:rsidR="001C28A9" w:rsidRPr="00A1389A">
        <w:rPr>
          <w:rFonts w:asciiTheme="majorHAnsi" w:eastAsiaTheme="minorHAnsi" w:hAnsiTheme="majorHAnsi"/>
          <w:color w:val="000000"/>
          <w:position w:val="0"/>
          <w:sz w:val="20"/>
          <w:szCs w:val="20"/>
          <w:lang w:val="fr-FR"/>
        </w:rPr>
        <w:t>s et de l’intersubjectivité des</w:t>
      </w:r>
      <w:r w:rsidR="00A41D96" w:rsidRPr="00A1389A">
        <w:rPr>
          <w:rFonts w:asciiTheme="majorHAnsi" w:eastAsiaTheme="minorHAnsi" w:hAnsiTheme="majorHAnsi"/>
          <w:color w:val="000000"/>
          <w:position w:val="0"/>
          <w:sz w:val="20"/>
          <w:szCs w:val="20"/>
          <w:lang w:val="fr-FR"/>
        </w:rPr>
        <w:t xml:space="preserve"> </w:t>
      </w:r>
      <w:r w:rsidRPr="00A1389A">
        <w:rPr>
          <w:rFonts w:asciiTheme="majorHAnsi" w:eastAsiaTheme="minorHAnsi" w:hAnsiTheme="majorHAnsi"/>
          <w:color w:val="000000"/>
          <w:position w:val="0"/>
          <w:sz w:val="20"/>
          <w:szCs w:val="20"/>
          <w:lang w:val="fr-FR"/>
        </w:rPr>
        <w:t>acteurs aux prises avec des situations complexes.</w:t>
      </w:r>
    </w:p>
    <w:p w14:paraId="44B2D4EB" w14:textId="77777777" w:rsidR="004275BD" w:rsidRPr="00A1389A" w:rsidRDefault="004275BD" w:rsidP="00D511DB">
      <w:pPr>
        <w:spacing w:before="100" w:beforeAutospacing="1" w:after="120"/>
        <w:ind w:right="-333"/>
        <w:rPr>
          <w:rFonts w:eastAsiaTheme="minorHAnsi"/>
          <w:position w:val="0"/>
          <w:sz w:val="20"/>
          <w:szCs w:val="20"/>
          <w:lang w:val="fr-FR"/>
        </w:rPr>
      </w:pPr>
      <w:r w:rsidRPr="004275BD">
        <w:rPr>
          <w:rFonts w:asciiTheme="majorHAnsi" w:eastAsiaTheme="minorHAnsi" w:hAnsiTheme="majorHAnsi"/>
          <w:b/>
          <w:position w:val="0"/>
          <w:sz w:val="20"/>
          <w:szCs w:val="20"/>
          <w:lang w:val="fr-CA"/>
        </w:rPr>
        <w:t xml:space="preserve">Jacques M. Chevalier </w:t>
      </w:r>
      <w:r w:rsidRPr="004275BD">
        <w:rPr>
          <w:rFonts w:asciiTheme="majorHAnsi" w:eastAsiaTheme="minorHAnsi" w:hAnsiTheme="majorHAnsi"/>
          <w:position w:val="0"/>
          <w:sz w:val="20"/>
          <w:szCs w:val="20"/>
          <w:lang w:val="fr-CA"/>
        </w:rPr>
        <w:t xml:space="preserve">est Professeur du Chancelier au Département de sociologie et d’anthropologie et à l’Institut d’économie politique, à l’Université de Carleton, Ottawa. Il a obtenu son doctorat en anthropologie à l’Université d’Édimbourg en 1977. </w:t>
      </w:r>
      <w:r w:rsidRPr="00A1389A">
        <w:rPr>
          <w:rFonts w:asciiTheme="majorHAnsi" w:eastAsiaTheme="minorHAnsi" w:hAnsiTheme="majorHAnsi"/>
          <w:position w:val="0"/>
          <w:sz w:val="20"/>
          <w:szCs w:val="20"/>
        </w:rPr>
        <w:t xml:space="preserve">Depuis lors, il a publié plusieurs ouvrages savants en anthropologie latino-américaine </w:t>
      </w:r>
      <w:r w:rsidRPr="00A1389A">
        <w:rPr>
          <w:rFonts w:asciiTheme="majorHAnsi" w:eastAsiaTheme="minorHAnsi" w:hAnsiTheme="majorHAnsi"/>
          <w:i/>
          <w:iCs/>
          <w:position w:val="0"/>
          <w:sz w:val="20"/>
          <w:szCs w:val="20"/>
        </w:rPr>
        <w:t xml:space="preserve">— </w:t>
      </w:r>
      <w:r w:rsidRPr="00A1389A">
        <w:rPr>
          <w:rFonts w:asciiTheme="majorHAnsi" w:eastAsiaTheme="minorHAnsi" w:hAnsiTheme="majorHAnsi"/>
          <w:i/>
          <w:position w:val="0"/>
          <w:sz w:val="20"/>
          <w:szCs w:val="20"/>
        </w:rPr>
        <w:t>The Hot and the Cold</w:t>
      </w:r>
      <w:r w:rsidRPr="00A1389A">
        <w:rPr>
          <w:rFonts w:asciiTheme="majorHAnsi" w:eastAsiaTheme="minorHAnsi" w:hAnsiTheme="majorHAnsi"/>
          <w:position w:val="0"/>
          <w:sz w:val="20"/>
          <w:szCs w:val="20"/>
        </w:rPr>
        <w:t xml:space="preserve"> (2002) University of Toronto Press,  </w:t>
      </w:r>
      <w:r w:rsidRPr="00A1389A">
        <w:rPr>
          <w:rFonts w:asciiTheme="majorHAnsi" w:eastAsiaTheme="minorHAnsi" w:hAnsiTheme="majorHAnsi"/>
          <w:i/>
          <w:position w:val="0"/>
          <w:sz w:val="20"/>
          <w:szCs w:val="20"/>
        </w:rPr>
        <w:t>A Land without Gods</w:t>
      </w:r>
      <w:r w:rsidRPr="00A1389A">
        <w:rPr>
          <w:rFonts w:asciiTheme="majorHAnsi" w:eastAsiaTheme="minorHAnsi" w:hAnsiTheme="majorHAnsi"/>
          <w:position w:val="0"/>
          <w:sz w:val="20"/>
          <w:szCs w:val="20"/>
        </w:rPr>
        <w:t xml:space="preserve"> (1995) Zed Books, </w:t>
      </w:r>
      <w:r w:rsidRPr="00A1389A">
        <w:rPr>
          <w:rFonts w:asciiTheme="majorHAnsi" w:eastAsiaTheme="minorHAnsi" w:hAnsiTheme="majorHAnsi"/>
          <w:i/>
          <w:position w:val="0"/>
          <w:sz w:val="20"/>
          <w:szCs w:val="20"/>
        </w:rPr>
        <w:t>Civilization and the Stolen Gift</w:t>
      </w:r>
      <w:r w:rsidRPr="00A1389A">
        <w:rPr>
          <w:rFonts w:asciiTheme="majorHAnsi" w:eastAsiaTheme="minorHAnsi" w:hAnsiTheme="majorHAnsi"/>
          <w:position w:val="0"/>
          <w:sz w:val="20"/>
          <w:szCs w:val="20"/>
        </w:rPr>
        <w:t xml:space="preserve"> (1982) University of Toronto Press — ainsi qu'en anthropologie sémiotique </w:t>
      </w:r>
      <w:r w:rsidRPr="00A1389A">
        <w:rPr>
          <w:rFonts w:asciiTheme="majorHAnsi" w:eastAsiaTheme="minorHAnsi" w:hAnsiTheme="majorHAnsi"/>
          <w:i/>
          <w:iCs/>
          <w:position w:val="0"/>
          <w:sz w:val="20"/>
          <w:szCs w:val="20"/>
        </w:rPr>
        <w:t xml:space="preserve">— </w:t>
      </w:r>
      <w:r w:rsidRPr="00A1389A">
        <w:rPr>
          <w:rFonts w:asciiTheme="majorHAnsi" w:eastAsiaTheme="minorHAnsi" w:hAnsiTheme="majorHAnsi"/>
          <w:i/>
          <w:position w:val="0"/>
          <w:sz w:val="20"/>
          <w:szCs w:val="20"/>
        </w:rPr>
        <w:t>The 3D Mind</w:t>
      </w:r>
      <w:r w:rsidRPr="00A1389A">
        <w:rPr>
          <w:rFonts w:asciiTheme="majorHAnsi" w:eastAsiaTheme="minorHAnsi" w:hAnsiTheme="majorHAnsi"/>
          <w:position w:val="0"/>
          <w:sz w:val="20"/>
          <w:szCs w:val="20"/>
        </w:rPr>
        <w:t xml:space="preserve"> (2002) 3 vol., McGill-Queen's, </w:t>
      </w:r>
      <w:r w:rsidRPr="00A1389A">
        <w:rPr>
          <w:rFonts w:asciiTheme="majorHAnsi" w:eastAsiaTheme="minorHAnsi" w:hAnsiTheme="majorHAnsi"/>
          <w:i/>
          <w:position w:val="0"/>
          <w:sz w:val="20"/>
          <w:szCs w:val="20"/>
        </w:rPr>
        <w:t>A Postmodern Revelation</w:t>
      </w:r>
      <w:r w:rsidRPr="00A1389A">
        <w:rPr>
          <w:rFonts w:asciiTheme="majorHAnsi" w:eastAsiaTheme="minorHAnsi" w:hAnsiTheme="majorHAnsi"/>
          <w:position w:val="0"/>
          <w:sz w:val="20"/>
          <w:szCs w:val="20"/>
        </w:rPr>
        <w:t xml:space="preserve"> (1997) University of Toronto Press, </w:t>
      </w:r>
      <w:r w:rsidRPr="00A1389A">
        <w:rPr>
          <w:rFonts w:asciiTheme="majorHAnsi" w:eastAsiaTheme="minorHAnsi" w:hAnsiTheme="majorHAnsi"/>
          <w:i/>
          <w:position w:val="0"/>
          <w:sz w:val="20"/>
          <w:szCs w:val="20"/>
        </w:rPr>
        <w:t>Semiotics, Romanticism and the Scriptures</w:t>
      </w:r>
      <w:r w:rsidRPr="00A1389A">
        <w:rPr>
          <w:rFonts w:asciiTheme="majorHAnsi" w:eastAsiaTheme="minorHAnsi" w:hAnsiTheme="majorHAnsi"/>
          <w:position w:val="0"/>
          <w:sz w:val="20"/>
          <w:szCs w:val="20"/>
        </w:rPr>
        <w:t xml:space="preserve"> (1990) Mouton, Berlin. </w:t>
      </w:r>
      <w:r w:rsidRPr="004275BD">
        <w:rPr>
          <w:rFonts w:asciiTheme="majorHAnsi" w:eastAsiaTheme="minorHAnsi" w:hAnsiTheme="majorHAnsi"/>
          <w:position w:val="0"/>
          <w:sz w:val="20"/>
          <w:szCs w:val="20"/>
          <w:lang w:val="fr-CA"/>
        </w:rPr>
        <w:t xml:space="preserve">Il a également mené des études de longue durée sur le terrain, en milieu autochtone, au Mexique et au Pérou. </w:t>
      </w:r>
    </w:p>
    <w:p w14:paraId="1B9F09C0" w14:textId="77777777" w:rsidR="004275BD" w:rsidRPr="004275BD" w:rsidRDefault="004275BD" w:rsidP="00D511DB">
      <w:pPr>
        <w:spacing w:before="100" w:beforeAutospacing="1" w:after="120"/>
        <w:ind w:right="-333"/>
        <w:rPr>
          <w:rFonts w:eastAsiaTheme="minorHAnsi"/>
          <w:position w:val="0"/>
          <w:sz w:val="20"/>
          <w:szCs w:val="20"/>
        </w:rPr>
      </w:pPr>
      <w:r w:rsidRPr="004275BD">
        <w:rPr>
          <w:rFonts w:asciiTheme="majorHAnsi" w:eastAsiaTheme="minorHAnsi" w:hAnsiTheme="majorHAnsi"/>
          <w:position w:val="0"/>
          <w:sz w:val="20"/>
          <w:szCs w:val="20"/>
          <w:lang w:val="fr-CA"/>
        </w:rPr>
        <w:t xml:space="preserve">Depuis 2002, il s’emploie à rattacher son savoir théorique et son expérience de terrain aux questions de développement et aux méthodes de recherche-action participative et ce, en anglais, en français et en espagnol et dans plusieurs régions du monde. Les résultats de ces travaux plus récents sont disponibles sur le site </w:t>
      </w:r>
      <w:hyperlink r:id="rId6" w:history="1">
        <w:r w:rsidRPr="004275BD">
          <w:rPr>
            <w:rFonts w:asciiTheme="majorHAnsi" w:eastAsiaTheme="minorHAnsi" w:hAnsiTheme="majorHAnsi"/>
            <w:color w:val="0000FF" w:themeColor="hyperlink"/>
            <w:position w:val="0"/>
            <w:sz w:val="20"/>
            <w:szCs w:val="20"/>
            <w:u w:val="single"/>
            <w:lang w:val="fr-CA"/>
          </w:rPr>
          <w:t>www.participatoryactionresearch.net</w:t>
        </w:r>
      </w:hyperlink>
      <w:r w:rsidRPr="004275BD">
        <w:rPr>
          <w:rFonts w:asciiTheme="majorHAnsi" w:eastAsiaTheme="minorHAnsi" w:hAnsiTheme="majorHAnsi"/>
          <w:position w:val="0"/>
          <w:sz w:val="20"/>
          <w:szCs w:val="20"/>
          <w:lang w:val="fr-CA"/>
        </w:rPr>
        <w:t xml:space="preserve">, dont </w:t>
      </w:r>
      <w:r w:rsidRPr="004275BD">
        <w:rPr>
          <w:rFonts w:asciiTheme="majorHAnsi" w:eastAsiaTheme="minorHAnsi" w:hAnsiTheme="majorHAnsi"/>
          <w:i/>
          <w:position w:val="0"/>
          <w:sz w:val="20"/>
          <w:szCs w:val="20"/>
          <w:lang w:val="fr-CA"/>
        </w:rPr>
        <w:t>SAS2 : Guide sur la recherche collaborative et l’engagement social</w:t>
      </w:r>
      <w:r w:rsidRPr="004275BD">
        <w:rPr>
          <w:rFonts w:asciiTheme="majorHAnsi" w:eastAsiaTheme="minorHAnsi" w:hAnsiTheme="majorHAnsi"/>
          <w:position w:val="0"/>
          <w:sz w:val="20"/>
          <w:szCs w:val="20"/>
          <w:lang w:val="fr-CA"/>
        </w:rPr>
        <w:t xml:space="preserve"> (2008) ESKA, Paris (version originale en anglais publiée par Sage International). </w:t>
      </w:r>
      <w:r w:rsidRPr="00A1389A">
        <w:rPr>
          <w:rFonts w:asciiTheme="majorHAnsi" w:eastAsiaTheme="minorHAnsi" w:hAnsiTheme="majorHAnsi"/>
          <w:position w:val="0"/>
          <w:sz w:val="20"/>
          <w:szCs w:val="20"/>
        </w:rPr>
        <w:t xml:space="preserve">Son dernier ouvrage s’intitule </w:t>
      </w:r>
      <w:r w:rsidRPr="00A1389A">
        <w:rPr>
          <w:rFonts w:asciiTheme="majorHAnsi" w:eastAsiaTheme="minorHAnsi" w:hAnsiTheme="majorHAnsi"/>
          <w:i/>
          <w:position w:val="0"/>
          <w:sz w:val="20"/>
          <w:szCs w:val="20"/>
        </w:rPr>
        <w:t>Participatory Action Research : Theory and Methods for Engaged Inquiry</w:t>
      </w:r>
      <w:r w:rsidRPr="00A1389A">
        <w:rPr>
          <w:rFonts w:asciiTheme="majorHAnsi" w:eastAsiaTheme="minorHAnsi" w:hAnsiTheme="majorHAnsi"/>
          <w:position w:val="0"/>
          <w:sz w:val="20"/>
          <w:szCs w:val="20"/>
        </w:rPr>
        <w:t>, publié par Routledge UK (2013, 470 pp.).</w:t>
      </w:r>
    </w:p>
    <w:p w14:paraId="30E01DE4" w14:textId="77777777" w:rsidR="009D330F" w:rsidRPr="004275BD" w:rsidRDefault="009D330F" w:rsidP="004275BD"/>
    <w:sectPr w:rsidR="009D330F" w:rsidRPr="004275BD" w:rsidSect="001C28A9">
      <w:pgSz w:w="12240" w:h="15840"/>
      <w:pgMar w:top="1440" w:right="1800" w:bottom="1440"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1E"/>
    <w:rsid w:val="000B060E"/>
    <w:rsid w:val="0010143E"/>
    <w:rsid w:val="00175FD8"/>
    <w:rsid w:val="001C28A9"/>
    <w:rsid w:val="002616E8"/>
    <w:rsid w:val="002F7B01"/>
    <w:rsid w:val="0035211F"/>
    <w:rsid w:val="0041163B"/>
    <w:rsid w:val="004275BD"/>
    <w:rsid w:val="004D23B5"/>
    <w:rsid w:val="004E7D5A"/>
    <w:rsid w:val="005B2D49"/>
    <w:rsid w:val="005E4116"/>
    <w:rsid w:val="0064590E"/>
    <w:rsid w:val="00661C1E"/>
    <w:rsid w:val="007960CB"/>
    <w:rsid w:val="007C6341"/>
    <w:rsid w:val="00846B10"/>
    <w:rsid w:val="008A4E6E"/>
    <w:rsid w:val="008E6355"/>
    <w:rsid w:val="00925EE1"/>
    <w:rsid w:val="00942246"/>
    <w:rsid w:val="009769DC"/>
    <w:rsid w:val="009D330F"/>
    <w:rsid w:val="009F1F7B"/>
    <w:rsid w:val="00A1389A"/>
    <w:rsid w:val="00A41D96"/>
    <w:rsid w:val="00A91C0D"/>
    <w:rsid w:val="00B216E3"/>
    <w:rsid w:val="00D27A24"/>
    <w:rsid w:val="00D511DB"/>
    <w:rsid w:val="00D71634"/>
    <w:rsid w:val="00DC7D54"/>
    <w:rsid w:val="00E010DE"/>
    <w:rsid w:val="00E2538A"/>
    <w:rsid w:val="00E67616"/>
    <w:rsid w:val="00EA6275"/>
    <w:rsid w:val="00F000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31CC4"/>
  <w15:docId w15:val="{9A8783D5-CF3A-404C-A619-4FA7E64D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1E"/>
    <w:rPr>
      <w:rFonts w:ascii="Times" w:eastAsia="Times New Roman" w:hAnsi="Times" w:cs="Times New Roman"/>
      <w:position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fcdefinition">
    <w:name w:val="tlf_cdefinition"/>
    <w:basedOn w:val="Policepardfaut"/>
    <w:rsid w:val="00E2538A"/>
  </w:style>
  <w:style w:type="character" w:styleId="Lienhypertexte">
    <w:name w:val="Hyperlink"/>
    <w:basedOn w:val="Policepardfaut"/>
    <w:uiPriority w:val="99"/>
    <w:unhideWhenUsed/>
    <w:rsid w:val="002616E8"/>
    <w:rPr>
      <w:color w:val="0000FF" w:themeColor="hyperlink"/>
      <w:u w:val="single"/>
    </w:rPr>
  </w:style>
  <w:style w:type="character" w:customStyle="1" w:styleId="tlfcdefinition0">
    <w:name w:val="tlfcdefinition"/>
    <w:basedOn w:val="Policepardfaut"/>
    <w:rsid w:val="0042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91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ticipatoryactionresearc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B2D6-4415-40E6-87E8-AD4693CC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Carleton University</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Chevalier</dc:creator>
  <cp:keywords/>
  <cp:lastModifiedBy>Sylvie BLANGY</cp:lastModifiedBy>
  <cp:revision>2</cp:revision>
  <dcterms:created xsi:type="dcterms:W3CDTF">2016-01-07T13:44:00Z</dcterms:created>
  <dcterms:modified xsi:type="dcterms:W3CDTF">2016-01-07T13:44:00Z</dcterms:modified>
</cp:coreProperties>
</file>